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06" w:rsidRDefault="000A2C06" w:rsidP="000A2C06">
      <w:pPr>
        <w:ind w:right="-570" w:firstLine="708"/>
        <w:jc w:val="center"/>
        <w:rPr>
          <w:b/>
          <w:bCs/>
        </w:rPr>
      </w:pPr>
      <w:bookmarkStart w:id="0" w:name="_GoBack"/>
      <w:bookmarkEnd w:id="0"/>
      <w:r w:rsidRPr="005D3ED1">
        <w:rPr>
          <w:b/>
          <w:bCs/>
        </w:rPr>
        <w:t>TOBB EKONOMİ VE TEKNOLOJİ ÜNİVERSİTESİ</w:t>
      </w:r>
      <w:r>
        <w:rPr>
          <w:b/>
          <w:bCs/>
        </w:rPr>
        <w:t xml:space="preserve"> </w:t>
      </w:r>
    </w:p>
    <w:p w:rsidR="000A2C06" w:rsidRPr="005D3ED1" w:rsidRDefault="000A2C06" w:rsidP="000A2C06">
      <w:pPr>
        <w:ind w:right="-570"/>
        <w:jc w:val="center"/>
      </w:pPr>
      <w:r w:rsidRPr="005D3ED1">
        <w:rPr>
          <w:b/>
          <w:bCs/>
        </w:rPr>
        <w:t>YURTDIŞINDAN ÖĞRENCİ KABULÜ YÖNERGESİ</w:t>
      </w:r>
    </w:p>
    <w:p w:rsidR="000A2C06" w:rsidRPr="005D3ED1" w:rsidRDefault="000A2C06" w:rsidP="000A2C06">
      <w:pPr>
        <w:ind w:right="-570"/>
        <w:rPr>
          <w:bCs/>
          <w:sz w:val="20"/>
          <w:szCs w:val="20"/>
        </w:rPr>
      </w:pPr>
      <w:r w:rsidRPr="005D3ED1">
        <w:rPr>
          <w:bCs/>
          <w:sz w:val="20"/>
          <w:szCs w:val="20"/>
        </w:rPr>
        <w:t>Senato Kabul Karar Tarih, no: 16.03.2011/ S-2011-08/7</w:t>
      </w:r>
    </w:p>
    <w:p w:rsidR="000A2C06" w:rsidRPr="005D3ED1" w:rsidRDefault="000A2C06" w:rsidP="000A2C06">
      <w:pPr>
        <w:ind w:right="-570" w:firstLine="709"/>
        <w:jc w:val="center"/>
        <w:rPr>
          <w:b/>
        </w:rPr>
      </w:pPr>
      <w:r w:rsidRPr="005D3ED1">
        <w:rPr>
          <w:b/>
        </w:rPr>
        <w:t>BİRİNCİ BÖLÜM</w:t>
      </w:r>
    </w:p>
    <w:p w:rsidR="000A2C06" w:rsidRPr="005D3ED1" w:rsidRDefault="000A2C06" w:rsidP="000A2C06">
      <w:pPr>
        <w:ind w:right="-570" w:firstLine="709"/>
        <w:jc w:val="center"/>
        <w:rPr>
          <w:b/>
        </w:rPr>
      </w:pPr>
      <w:r w:rsidRPr="005D3ED1">
        <w:rPr>
          <w:b/>
        </w:rPr>
        <w:t>Amaç, Kapsam, Dayanak ve Kontenjanlar</w:t>
      </w:r>
    </w:p>
    <w:p w:rsidR="000A2C06" w:rsidRPr="005D3ED1" w:rsidRDefault="000A2C06" w:rsidP="000A2C06">
      <w:pPr>
        <w:ind w:right="-570" w:firstLine="709"/>
        <w:jc w:val="both"/>
        <w:rPr>
          <w:b/>
          <w:bCs/>
        </w:rPr>
      </w:pPr>
    </w:p>
    <w:p w:rsidR="000A2C06" w:rsidRPr="005D3ED1" w:rsidRDefault="000A2C06" w:rsidP="000A2C06">
      <w:pPr>
        <w:ind w:right="-570" w:firstLine="708"/>
        <w:jc w:val="both"/>
        <w:rPr>
          <w:b/>
        </w:rPr>
      </w:pPr>
      <w:r w:rsidRPr="005D3ED1">
        <w:rPr>
          <w:b/>
        </w:rPr>
        <w:t>Amaç, kapsam ve dayanak</w:t>
      </w:r>
    </w:p>
    <w:p w:rsidR="000A2C06" w:rsidRPr="005D3ED1" w:rsidRDefault="000A2C06" w:rsidP="000A2C06">
      <w:pPr>
        <w:ind w:right="-570" w:firstLine="708"/>
        <w:jc w:val="both"/>
      </w:pPr>
      <w:r w:rsidRPr="005D3ED1">
        <w:rPr>
          <w:b/>
        </w:rPr>
        <w:t>MADDE  1 –</w:t>
      </w:r>
      <w:r w:rsidRPr="005D3ED1">
        <w:t xml:space="preserve"> (1) Bu Yönerge, Türkiye’de Öğrenim Gören Yabancı Uyruklu Öğrencilere İlişkin 2922 Sayılı Kanun’un 3. maddesi uyarınca kurulan Değerlendirme Kurulunun 18.03.2009 tarihli toplantısında alınan yabancı uyruklu öğrencilere tüm üniversitelerde öğrenim görme imkânının verilmesi kararı uyarınca, TOBB Ekonomi ve Teknoloji Üniversitesinin Yükseköğretim Kurulu onayı ile yurt dışından öğrenci kabul etmesi ile ilgili esasları düzenler.</w:t>
      </w:r>
    </w:p>
    <w:p w:rsidR="000A2C06" w:rsidRPr="005D3ED1" w:rsidRDefault="000A2C06" w:rsidP="000A2C06">
      <w:pPr>
        <w:ind w:right="-570" w:firstLine="709"/>
        <w:jc w:val="both"/>
        <w:rPr>
          <w:b/>
          <w:bCs/>
        </w:rPr>
      </w:pPr>
      <w:r w:rsidRPr="005D3ED1">
        <w:rPr>
          <w:b/>
          <w:bCs/>
        </w:rPr>
        <w:t>Kontenjanların belirlenmesi</w:t>
      </w:r>
    </w:p>
    <w:p w:rsidR="000A2C06" w:rsidRPr="005D3ED1" w:rsidRDefault="000A2C06" w:rsidP="000A2C06">
      <w:pPr>
        <w:ind w:right="-570" w:firstLine="709"/>
        <w:jc w:val="both"/>
      </w:pPr>
      <w:r w:rsidRPr="005D3ED1">
        <w:rPr>
          <w:b/>
        </w:rPr>
        <w:t>MADDE  2 –</w:t>
      </w:r>
      <w:r w:rsidRPr="005D3ED1">
        <w:t xml:space="preserve"> (1) Üniversiteye yurt dışından kabul edilecek öğrencilere ait kontenjanlar her yıl Fakültelerin önerisi, Senatonun görüşü ve Mütevelli Heyet Başkanının onayı ile belirlenir. </w:t>
      </w:r>
    </w:p>
    <w:p w:rsidR="000A2C06" w:rsidRPr="005D3ED1" w:rsidRDefault="000A2C06" w:rsidP="000A2C06">
      <w:pPr>
        <w:pStyle w:val="ListParagraph"/>
        <w:ind w:right="-570"/>
        <w:jc w:val="both"/>
        <w:rPr>
          <w:b/>
        </w:rPr>
      </w:pPr>
    </w:p>
    <w:p w:rsidR="000A2C06" w:rsidRPr="005D3ED1" w:rsidRDefault="000A2C06" w:rsidP="000A2C06">
      <w:pPr>
        <w:ind w:right="-570"/>
        <w:jc w:val="both"/>
      </w:pPr>
    </w:p>
    <w:p w:rsidR="000A2C06" w:rsidRPr="005D3ED1" w:rsidRDefault="000A2C06" w:rsidP="000A2C06">
      <w:pPr>
        <w:ind w:right="-570" w:firstLine="709"/>
        <w:jc w:val="center"/>
        <w:rPr>
          <w:b/>
        </w:rPr>
      </w:pPr>
      <w:r w:rsidRPr="005D3ED1">
        <w:rPr>
          <w:i/>
        </w:rPr>
        <w:t> </w:t>
      </w:r>
      <w:r w:rsidRPr="005D3ED1">
        <w:rPr>
          <w:b/>
        </w:rPr>
        <w:t>İKİNCİ BÖLÜM</w:t>
      </w:r>
    </w:p>
    <w:p w:rsidR="000A2C06" w:rsidRPr="005D3ED1" w:rsidRDefault="000A2C06" w:rsidP="000A2C06">
      <w:pPr>
        <w:ind w:right="-570" w:firstLine="709"/>
        <w:jc w:val="center"/>
        <w:rPr>
          <w:b/>
        </w:rPr>
      </w:pPr>
      <w:r w:rsidRPr="005D3ED1">
        <w:rPr>
          <w:b/>
        </w:rPr>
        <w:t>Başvuru ve Kabul Koşulları</w:t>
      </w:r>
    </w:p>
    <w:p w:rsidR="000A2C06" w:rsidRPr="005D3ED1" w:rsidRDefault="000A2C06" w:rsidP="000A2C06">
      <w:pPr>
        <w:ind w:right="-570"/>
        <w:jc w:val="both"/>
      </w:pPr>
    </w:p>
    <w:p w:rsidR="000A2C06" w:rsidRPr="005D3ED1" w:rsidRDefault="000A2C06" w:rsidP="000A2C06">
      <w:pPr>
        <w:ind w:right="-570" w:firstLine="709"/>
        <w:jc w:val="both"/>
        <w:rPr>
          <w:b/>
        </w:rPr>
      </w:pPr>
      <w:r w:rsidRPr="005D3ED1">
        <w:rPr>
          <w:b/>
        </w:rPr>
        <w:t>Başvuru koşulları</w:t>
      </w:r>
      <w:r>
        <w:rPr>
          <w:rStyle w:val="FootnoteReference"/>
          <w:b/>
        </w:rPr>
        <w:footnoteReference w:id="1"/>
      </w:r>
    </w:p>
    <w:p w:rsidR="000A2C06" w:rsidRPr="005D3ED1" w:rsidRDefault="000A2C06" w:rsidP="000A2C06">
      <w:pPr>
        <w:ind w:firstLine="709"/>
        <w:jc w:val="both"/>
      </w:pPr>
      <w:r w:rsidRPr="005D3ED1">
        <w:rPr>
          <w:b/>
          <w:bCs/>
        </w:rPr>
        <w:t xml:space="preserve">MADDE  3 – </w:t>
      </w:r>
      <w:r>
        <w:rPr>
          <w:b/>
        </w:rPr>
        <w:t>(Değişik: 22</w:t>
      </w:r>
      <w:r w:rsidRPr="005D3ED1">
        <w:rPr>
          <w:b/>
        </w:rPr>
        <w:t>.</w:t>
      </w:r>
      <w:r>
        <w:rPr>
          <w:b/>
        </w:rPr>
        <w:t xml:space="preserve">06.2017 tarih 13/04 </w:t>
      </w:r>
      <w:r w:rsidRPr="005D3ED1">
        <w:rPr>
          <w:b/>
        </w:rPr>
        <w:t xml:space="preserve">sayılı Senato Kararı) </w:t>
      </w:r>
      <w:r w:rsidRPr="005D3ED1">
        <w:t xml:space="preserve"> </w:t>
      </w:r>
    </w:p>
    <w:p w:rsidR="000A2C06" w:rsidRDefault="000A2C06" w:rsidP="000A2C06">
      <w:pPr>
        <w:ind w:right="-1" w:firstLine="709"/>
        <w:jc w:val="both"/>
      </w:pPr>
      <w:r>
        <w:t>(1) Bu yönerge kapsamında Üniversiteye, lise son sınıf öğrencisi veya lise mezunu olmaları koşuluyla:</w:t>
      </w:r>
    </w:p>
    <w:p w:rsidR="000A2C06" w:rsidRDefault="000A2C06" w:rsidP="000A2C06">
      <w:pPr>
        <w:numPr>
          <w:ilvl w:val="0"/>
          <w:numId w:val="3"/>
        </w:numPr>
        <w:ind w:right="-1"/>
        <w:jc w:val="both"/>
      </w:pPr>
      <w:r>
        <w:t>Yabancı uyruklu olanlar,</w:t>
      </w:r>
    </w:p>
    <w:p w:rsidR="000A2C06" w:rsidRDefault="000A2C06" w:rsidP="000A2C06">
      <w:pPr>
        <w:numPr>
          <w:ilvl w:val="0"/>
          <w:numId w:val="3"/>
        </w:numPr>
        <w:tabs>
          <w:tab w:val="left" w:pos="567"/>
        </w:tabs>
        <w:spacing w:before="100" w:beforeAutospacing="1" w:after="100" w:afterAutospacing="1"/>
        <w:ind w:right="-1"/>
        <w:contextualSpacing/>
        <w:jc w:val="both"/>
      </w:pPr>
      <w:r>
        <w:t>Doğumla Türk vatandaşı olup da İçişleri Bakanlığı’ndan çıkma izni almak suretiyle Türk vatandaşlığını kaybedenler ve bunların Türk vatandaşlığından çıkma belgesinde kayıtlı reşit olmayan çocukları (Bu durumdaki çocuklar 5901 sayılı Türk Vatandaşlığı Kanununun 28. maddesinde belirtilen haklardan faydalanabileceklerini belgelemek zorundadır.).</w:t>
      </w:r>
    </w:p>
    <w:p w:rsidR="000A2C06" w:rsidRDefault="000A2C06" w:rsidP="000A2C06">
      <w:pPr>
        <w:tabs>
          <w:tab w:val="left" w:pos="567"/>
        </w:tabs>
        <w:spacing w:before="100" w:beforeAutospacing="1" w:after="100" w:afterAutospacing="1"/>
        <w:ind w:left="1134" w:right="-1" w:hanging="425"/>
        <w:contextualSpacing/>
        <w:jc w:val="both"/>
      </w:pPr>
      <w:r>
        <w:t>c)  Doğumla yabancı uyruklu olup daha sonra TC vatandaşlığını da alarak çift uyruklu olanlar,</w:t>
      </w:r>
    </w:p>
    <w:p w:rsidR="000A2C06" w:rsidRDefault="000A2C06" w:rsidP="000A2C06">
      <w:pPr>
        <w:tabs>
          <w:tab w:val="left" w:pos="567"/>
        </w:tabs>
        <w:spacing w:before="100" w:beforeAutospacing="1" w:after="100" w:afterAutospacing="1"/>
        <w:ind w:left="993" w:right="-1" w:hanging="284"/>
        <w:contextualSpacing/>
        <w:jc w:val="both"/>
      </w:pPr>
      <w:r>
        <w:t xml:space="preserve">ç) TC uyruklu olup; </w:t>
      </w:r>
    </w:p>
    <w:p w:rsidR="000A2C06" w:rsidRDefault="000A2C06" w:rsidP="000A2C06">
      <w:pPr>
        <w:tabs>
          <w:tab w:val="left" w:pos="567"/>
        </w:tabs>
        <w:spacing w:before="100" w:beforeAutospacing="1" w:after="100" w:afterAutospacing="1"/>
        <w:ind w:left="993" w:right="-1" w:hanging="284"/>
        <w:contextualSpacing/>
        <w:jc w:val="both"/>
      </w:pPr>
      <w:r>
        <w:tab/>
        <w:t xml:space="preserve">1) 01/02/2013 tarihinden önce ortaöğretiminin (lise) son üç yılını KKTC hariç yabancı bir ülkede tamamlayanlar (ortaöğretiminin tamamını KKTC dışında yabancı bir ülkedeki MEB nezdinde açılmış olan Türk okullarında tamamlayanlar dahil), </w:t>
      </w:r>
    </w:p>
    <w:p w:rsidR="000A2C06" w:rsidRDefault="000A2C06" w:rsidP="000A2C06">
      <w:pPr>
        <w:tabs>
          <w:tab w:val="left" w:pos="567"/>
        </w:tabs>
        <w:spacing w:before="100" w:beforeAutospacing="1" w:after="100" w:afterAutospacing="1"/>
        <w:ind w:left="993" w:right="-1" w:hanging="284"/>
        <w:contextualSpacing/>
        <w:jc w:val="both"/>
      </w:pPr>
      <w:r>
        <w:tab/>
        <w:t xml:space="preserve">2) 01/02/2013 tarihinden sonra yurt dışında ortaöğretime (lise)  başlayan adaylardan ortaöğretiminin tamamını KKTC hariç yabancı bir ülkede tamamlayanlar (ortaöğretiminin tamamını KKTC dışında yabancı bir ülkedeki MEB nezdinde açılmış olan Türk okullarında tamamlayanlar dahil), </w:t>
      </w:r>
    </w:p>
    <w:p w:rsidR="000A2C06" w:rsidRDefault="000A2C06" w:rsidP="000A2C06">
      <w:pPr>
        <w:tabs>
          <w:tab w:val="left" w:pos="567"/>
        </w:tabs>
        <w:spacing w:before="100" w:beforeAutospacing="1"/>
        <w:ind w:left="993" w:right="-1" w:hanging="284"/>
        <w:contextualSpacing/>
        <w:jc w:val="both"/>
      </w:pPr>
      <w:r>
        <w:t xml:space="preserve">d) KKTC uyruklu olup; </w:t>
      </w:r>
    </w:p>
    <w:p w:rsidR="000A2C06" w:rsidRDefault="000A2C06" w:rsidP="000A2C06">
      <w:pPr>
        <w:tabs>
          <w:tab w:val="left" w:pos="567"/>
        </w:tabs>
        <w:spacing w:before="100" w:beforeAutospacing="1"/>
        <w:ind w:left="993" w:right="-1" w:hanging="284"/>
        <w:contextualSpacing/>
        <w:jc w:val="both"/>
      </w:pPr>
      <w:r>
        <w:t xml:space="preserve">    1) KKTC’de ikamet eden ve KKTC’de ortaöğrenimini tamamlayan GCE AL sınav sonuçlarına sahip olanlar,</w:t>
      </w:r>
    </w:p>
    <w:p w:rsidR="000A2C06" w:rsidRDefault="000A2C06" w:rsidP="000A2C06">
      <w:pPr>
        <w:tabs>
          <w:tab w:val="left" w:pos="567"/>
        </w:tabs>
        <w:spacing w:before="100" w:beforeAutospacing="1"/>
        <w:ind w:left="993" w:right="-1" w:hanging="284"/>
        <w:contextualSpacing/>
        <w:jc w:val="both"/>
      </w:pPr>
      <w:r>
        <w:t xml:space="preserve">    2) 2005-2010 tarihleri arasında KKTC dışındaki bir ülkede ortaöğrenim kaydı yaptırıp eğitim alarak GCE AL sınav sonuçlarına sahip olan veya sahip olacaklar, </w:t>
      </w:r>
    </w:p>
    <w:p w:rsidR="000A2C06" w:rsidRDefault="000A2C06" w:rsidP="000A2C06">
      <w:pPr>
        <w:tabs>
          <w:tab w:val="left" w:pos="567"/>
        </w:tabs>
        <w:ind w:right="-1"/>
        <w:jc w:val="both"/>
        <w:rPr>
          <w:i/>
          <w:iCs/>
          <w:sz w:val="16"/>
          <w:szCs w:val="16"/>
        </w:rPr>
      </w:pPr>
      <w:r>
        <w:t>başvurabilir.</w:t>
      </w:r>
      <w:r>
        <w:rPr>
          <w:i/>
          <w:iCs/>
          <w:sz w:val="16"/>
          <w:szCs w:val="16"/>
        </w:rPr>
        <w:t xml:space="preserve"> </w:t>
      </w:r>
    </w:p>
    <w:p w:rsidR="000A2C06" w:rsidRPr="005D3ED1" w:rsidRDefault="000A2C06" w:rsidP="000A2C06">
      <w:pPr>
        <w:ind w:right="-570" w:firstLine="709"/>
        <w:jc w:val="both"/>
        <w:rPr>
          <w:b/>
          <w:bCs/>
        </w:rPr>
      </w:pPr>
      <w:r w:rsidRPr="005D3ED1">
        <w:rPr>
          <w:b/>
          <w:bCs/>
        </w:rPr>
        <w:t>Kabul için başarılması gereken sınavlar</w:t>
      </w:r>
    </w:p>
    <w:p w:rsidR="000A2C06" w:rsidRPr="005D3ED1" w:rsidRDefault="000A2C06" w:rsidP="000A2C06">
      <w:pPr>
        <w:tabs>
          <w:tab w:val="left" w:pos="709"/>
        </w:tabs>
        <w:ind w:right="-570"/>
        <w:jc w:val="both"/>
      </w:pPr>
      <w:r w:rsidRPr="005D3ED1">
        <w:rPr>
          <w:b/>
          <w:bCs/>
        </w:rPr>
        <w:tab/>
        <w:t>MADDE  4 –</w:t>
      </w:r>
      <w:r w:rsidRPr="005D3ED1">
        <w:rPr>
          <w:b/>
        </w:rPr>
        <w:t xml:space="preserve"> </w:t>
      </w:r>
      <w:r w:rsidRPr="005D3ED1">
        <w:t>(1)</w:t>
      </w:r>
      <w:r w:rsidRPr="005D3ED1">
        <w:rPr>
          <w:b/>
        </w:rPr>
        <w:t xml:space="preserve"> (Değişik: 16.07.2012 tarih 16/16 sayılı Senato Kararı) </w:t>
      </w:r>
      <w:r w:rsidRPr="005D3ED1">
        <w:t>Adayların başvurularının değerlendirmeye alınabilmesi için Yükseköğretim Kurulu tarafından onaylanmış aşağıdaki sınavlardan herhangi birine ait belirtilen şartları sağlamış olmaları gerekir:</w:t>
      </w:r>
    </w:p>
    <w:p w:rsidR="000A2C06" w:rsidRPr="005D3ED1" w:rsidRDefault="000A2C06" w:rsidP="000A2C06">
      <w:pPr>
        <w:numPr>
          <w:ilvl w:val="0"/>
          <w:numId w:val="1"/>
        </w:numPr>
        <w:tabs>
          <w:tab w:val="left" w:pos="993"/>
        </w:tabs>
        <w:ind w:left="0" w:right="-570" w:firstLine="709"/>
        <w:jc w:val="both"/>
      </w:pPr>
      <w:r w:rsidRPr="005D3ED1">
        <w:lastRenderedPageBreak/>
        <w:t>Aşağıdaki sınavlardan herhangi birinin belirtilen puanla başarılmış olması;</w:t>
      </w:r>
    </w:p>
    <w:p w:rsidR="000A2C06" w:rsidRPr="005D3ED1" w:rsidRDefault="000A2C06" w:rsidP="000A2C06">
      <w:pPr>
        <w:pStyle w:val="ListParagraph"/>
        <w:numPr>
          <w:ilvl w:val="0"/>
          <w:numId w:val="2"/>
        </w:numPr>
        <w:tabs>
          <w:tab w:val="left" w:pos="993"/>
        </w:tabs>
        <w:ind w:right="-570"/>
        <w:jc w:val="both"/>
      </w:pPr>
      <w:r w:rsidRPr="005D3ED1">
        <w:t>SAT I (Scholastic Aptitude Test) sınavından en az 1000 puan,</w:t>
      </w:r>
    </w:p>
    <w:p w:rsidR="000A2C06" w:rsidRPr="005D3ED1" w:rsidRDefault="000A2C06" w:rsidP="000A2C06">
      <w:pPr>
        <w:pStyle w:val="ListParagraph"/>
        <w:numPr>
          <w:ilvl w:val="0"/>
          <w:numId w:val="2"/>
        </w:numPr>
        <w:tabs>
          <w:tab w:val="left" w:pos="993"/>
        </w:tabs>
        <w:ind w:right="-570"/>
        <w:jc w:val="both"/>
      </w:pPr>
      <w:r w:rsidRPr="005D3ED1">
        <w:t>ACT (National College Admission Examination) sınavından en az 21 puan,</w:t>
      </w:r>
    </w:p>
    <w:p w:rsidR="000A2C06" w:rsidRDefault="000A2C06" w:rsidP="000A2C06">
      <w:pPr>
        <w:pStyle w:val="ListParagraph"/>
        <w:numPr>
          <w:ilvl w:val="0"/>
          <w:numId w:val="2"/>
        </w:numPr>
        <w:tabs>
          <w:tab w:val="left" w:pos="993"/>
        </w:tabs>
        <w:ind w:left="993" w:right="-570" w:hanging="633"/>
        <w:jc w:val="both"/>
      </w:pPr>
      <w:r w:rsidRPr="005D3ED1">
        <w:t xml:space="preserve">GCE sınavından en az biri başvurulan programla ilgili olmak üzere en az 2 </w:t>
      </w:r>
      <w:r w:rsidRPr="005D3ED1">
        <w:br/>
        <w:t>konuda A seviyesi puan,</w:t>
      </w:r>
    </w:p>
    <w:p w:rsidR="000A2C06" w:rsidRPr="005D3ED1" w:rsidRDefault="000A2C06" w:rsidP="000A2C06">
      <w:pPr>
        <w:pStyle w:val="ListParagraph"/>
        <w:numPr>
          <w:ilvl w:val="0"/>
          <w:numId w:val="2"/>
        </w:numPr>
        <w:tabs>
          <w:tab w:val="left" w:pos="993"/>
        </w:tabs>
        <w:ind w:left="993" w:right="-570" w:hanging="633"/>
        <w:jc w:val="both"/>
      </w:pPr>
      <w:r w:rsidRPr="005D3ED1">
        <w:t>Uluslararası Bakalorya (IB) diploma notunun en az 28 olması,</w:t>
      </w:r>
    </w:p>
    <w:p w:rsidR="000A2C06" w:rsidRDefault="000A2C06" w:rsidP="000A2C06">
      <w:pPr>
        <w:pStyle w:val="ListParagraph"/>
        <w:numPr>
          <w:ilvl w:val="0"/>
          <w:numId w:val="2"/>
        </w:numPr>
        <w:tabs>
          <w:tab w:val="left" w:pos="709"/>
        </w:tabs>
        <w:ind w:left="851" w:right="-570" w:hanging="567"/>
        <w:jc w:val="both"/>
      </w:pPr>
      <w:r w:rsidRPr="005D3ED1">
        <w:t xml:space="preserve">Ürdün ve Filistin’de yapılan Tawjihi sınavlarında, fen dalında (Scientific </w:t>
      </w:r>
      <w:r w:rsidRPr="005D3ED1">
        <w:br/>
        <w:t>Stream) tüm derslerden alınan sınav notu ortalamasının en az 80 olması,</w:t>
      </w:r>
    </w:p>
    <w:p w:rsidR="000A2C06" w:rsidRPr="005D3ED1" w:rsidRDefault="000A2C06" w:rsidP="000A2C06">
      <w:pPr>
        <w:pStyle w:val="ListParagraph"/>
        <w:numPr>
          <w:ilvl w:val="0"/>
          <w:numId w:val="2"/>
        </w:numPr>
        <w:tabs>
          <w:tab w:val="left" w:pos="426"/>
          <w:tab w:val="left" w:pos="709"/>
        </w:tabs>
        <w:ind w:left="851" w:right="-570" w:hanging="491"/>
        <w:jc w:val="both"/>
      </w:pPr>
      <w:r>
        <w:t xml:space="preserve"> </w:t>
      </w:r>
      <w:r w:rsidRPr="005D3ED1">
        <w:t xml:space="preserve">Lübnan’da yapılan Bakalorya (Baccalaureat Libanais) sınavında, fen dalında </w:t>
      </w:r>
      <w:r w:rsidRPr="005D3ED1">
        <w:br/>
        <w:t>(Scientific Stream) diploma notunun en az 13 olması,</w:t>
      </w:r>
    </w:p>
    <w:p w:rsidR="000A2C06" w:rsidRDefault="000A2C06" w:rsidP="000A2C06">
      <w:pPr>
        <w:pStyle w:val="ListParagraph"/>
        <w:numPr>
          <w:ilvl w:val="0"/>
          <w:numId w:val="2"/>
        </w:numPr>
        <w:tabs>
          <w:tab w:val="left" w:pos="709"/>
          <w:tab w:val="left" w:pos="993"/>
        </w:tabs>
        <w:ind w:right="-570"/>
        <w:jc w:val="both"/>
      </w:pPr>
      <w:r w:rsidRPr="005D3ED1">
        <w:t xml:space="preserve">Azerbaycan ortaöğrenim bitirme sınav belgesi ATTESTAT, </w:t>
      </w:r>
    </w:p>
    <w:p w:rsidR="000A2C06" w:rsidRPr="005D3ED1" w:rsidRDefault="000A2C06" w:rsidP="000A2C06">
      <w:pPr>
        <w:pStyle w:val="ListParagraph"/>
        <w:numPr>
          <w:ilvl w:val="0"/>
          <w:numId w:val="2"/>
        </w:numPr>
        <w:tabs>
          <w:tab w:val="left" w:pos="709"/>
          <w:tab w:val="left" w:pos="993"/>
        </w:tabs>
        <w:ind w:right="-570"/>
        <w:jc w:val="both"/>
      </w:pPr>
      <w:r w:rsidRPr="00273673">
        <w:rPr>
          <w:b/>
        </w:rPr>
        <w:t>(Ek cümle: 28.07.2016 tarih 19/7 sayılı Senato Kararı)</w:t>
      </w:r>
      <w:r>
        <w:rPr>
          <w:b/>
        </w:rPr>
        <w:t xml:space="preserve"> </w:t>
      </w:r>
      <w:r>
        <w:t>İtalya Maturita diploma notunun en az 70 olması,</w:t>
      </w:r>
    </w:p>
    <w:p w:rsidR="000A2C06" w:rsidRPr="005D3ED1" w:rsidRDefault="000A2C06" w:rsidP="000A2C06">
      <w:pPr>
        <w:pStyle w:val="ListParagraph"/>
        <w:numPr>
          <w:ilvl w:val="0"/>
          <w:numId w:val="1"/>
        </w:numPr>
        <w:tabs>
          <w:tab w:val="left" w:pos="993"/>
        </w:tabs>
        <w:ind w:left="0" w:right="-570" w:firstLine="709"/>
        <w:jc w:val="both"/>
      </w:pPr>
      <w:r w:rsidRPr="005D3ED1">
        <w:t xml:space="preserve">TÜBİTAK’ın tanıdığı ve katıldığı uluslararası bilim olimpiyatlarında altın, </w:t>
      </w:r>
      <w:r w:rsidRPr="005D3ED1">
        <w:br/>
        <w:t xml:space="preserve">gümüş ve bronz madalya almış olması, </w:t>
      </w:r>
    </w:p>
    <w:p w:rsidR="000A2C06" w:rsidRPr="005D3ED1" w:rsidRDefault="000A2C06" w:rsidP="000A2C06">
      <w:pPr>
        <w:numPr>
          <w:ilvl w:val="0"/>
          <w:numId w:val="1"/>
        </w:numPr>
        <w:tabs>
          <w:tab w:val="left" w:pos="993"/>
        </w:tabs>
        <w:ind w:left="0" w:right="-570" w:firstLine="709"/>
        <w:jc w:val="both"/>
      </w:pPr>
      <w:r w:rsidRPr="005D3ED1">
        <w:t xml:space="preserve">Yukarıda belirtilen sınavların dışında Yükseköğretim Kurulu tarafından onaylanmış benzeri bir sınavdan başarı seviyesi Üniversite Senatosu tarafından kabul edilebilecek bir puan almış olması. </w:t>
      </w:r>
    </w:p>
    <w:p w:rsidR="000A2C06" w:rsidRPr="005D3ED1" w:rsidRDefault="000A2C06" w:rsidP="000A2C06">
      <w:pPr>
        <w:tabs>
          <w:tab w:val="left" w:pos="993"/>
        </w:tabs>
        <w:ind w:right="-570" w:firstLine="709"/>
        <w:jc w:val="both"/>
        <w:rPr>
          <w:bCs/>
        </w:rPr>
      </w:pPr>
      <w:r w:rsidRPr="005D3ED1">
        <w:t>(2) Lise bitirme sınavları statüsünde olan sınavlar (Abitur, International Baccalaureate, GCE, Tawjihi v.s.) süresiz geçerlidir. Üniversite giriş sınavı</w:t>
      </w:r>
      <w:r w:rsidRPr="005D3ED1">
        <w:rPr>
          <w:bCs/>
        </w:rPr>
        <w:t xml:space="preserve"> statüsünde olan sınavların (SAT v.s.) geçerlilik süresi ise iki yıldır.</w:t>
      </w:r>
    </w:p>
    <w:p w:rsidR="000A2C06" w:rsidRPr="005D3ED1" w:rsidRDefault="000A2C06" w:rsidP="000A2C06">
      <w:pPr>
        <w:tabs>
          <w:tab w:val="left" w:pos="993"/>
        </w:tabs>
        <w:ind w:right="-570" w:firstLine="709"/>
        <w:jc w:val="both"/>
        <w:rPr>
          <w:bCs/>
        </w:rPr>
      </w:pPr>
      <w:r w:rsidRPr="005D3ED1">
        <w:t>(3) Üniversite, YÖK tarafından onaylanmış olması şartıyla Senato kararıyla kabul edeceği sınav türlerini, bu yönergede değişiklik yapmaksızın, her yıl internet sayfasında ilan eder.</w:t>
      </w:r>
      <w:r w:rsidRPr="005D3ED1">
        <w:rPr>
          <w:bCs/>
        </w:rPr>
        <w:t xml:space="preserve"> </w:t>
      </w:r>
    </w:p>
    <w:p w:rsidR="000A2C06" w:rsidRPr="005D3ED1" w:rsidRDefault="000A2C06" w:rsidP="000A2C06">
      <w:pPr>
        <w:tabs>
          <w:tab w:val="left" w:pos="567"/>
          <w:tab w:val="left" w:pos="993"/>
        </w:tabs>
        <w:ind w:right="-570"/>
        <w:jc w:val="both"/>
        <w:rPr>
          <w:b/>
          <w:bCs/>
        </w:rPr>
      </w:pPr>
      <w:r w:rsidRPr="005D3ED1">
        <w:rPr>
          <w:b/>
          <w:bCs/>
        </w:rPr>
        <w:tab/>
        <w:t xml:space="preserve">  Başvuru şekli </w:t>
      </w:r>
    </w:p>
    <w:p w:rsidR="000A2C06" w:rsidRPr="005D3ED1" w:rsidRDefault="000A2C06" w:rsidP="000A2C06">
      <w:pPr>
        <w:tabs>
          <w:tab w:val="left" w:pos="567"/>
          <w:tab w:val="left" w:pos="709"/>
          <w:tab w:val="left" w:pos="993"/>
        </w:tabs>
        <w:ind w:right="-570"/>
        <w:jc w:val="both"/>
      </w:pPr>
      <w:r w:rsidRPr="005D3ED1">
        <w:rPr>
          <w:b/>
          <w:bCs/>
        </w:rPr>
        <w:tab/>
      </w:r>
      <w:r w:rsidRPr="005D3ED1">
        <w:rPr>
          <w:b/>
          <w:bCs/>
        </w:rPr>
        <w:tab/>
        <w:t>MADDE  5 –</w:t>
      </w:r>
      <w:r w:rsidRPr="005D3ED1">
        <w:t xml:space="preserve"> (1) Başvurulara ilişkin açıklamalar ve başvuru formu Üniversitenin internet sayfasında duyurulur. Başvurular, belirlenen tarihler arasında Öğrenci İşleri Müdürlüğüne ilan edilen şekilde yapılır. Aday öğrenci, farklı fakülte ve programlara başvursa dahi bu durumu belirterek tek bir başvuru formu doldurur. </w:t>
      </w:r>
    </w:p>
    <w:p w:rsidR="000A2C06" w:rsidRPr="005D3ED1" w:rsidRDefault="000A2C06" w:rsidP="000A2C06">
      <w:pPr>
        <w:tabs>
          <w:tab w:val="left" w:pos="567"/>
          <w:tab w:val="left" w:pos="709"/>
        </w:tabs>
        <w:ind w:right="-570"/>
        <w:jc w:val="both"/>
        <w:rPr>
          <w:b/>
          <w:bCs/>
        </w:rPr>
      </w:pPr>
      <w:r w:rsidRPr="005D3ED1">
        <w:rPr>
          <w:b/>
          <w:bCs/>
        </w:rPr>
        <w:tab/>
      </w:r>
      <w:r w:rsidRPr="005D3ED1">
        <w:rPr>
          <w:b/>
          <w:bCs/>
        </w:rPr>
        <w:tab/>
        <w:t>Başvuru için gerekli belgeler</w:t>
      </w:r>
    </w:p>
    <w:p w:rsidR="000A2C06" w:rsidRPr="005D3ED1" w:rsidRDefault="000A2C06" w:rsidP="000A2C06">
      <w:pPr>
        <w:tabs>
          <w:tab w:val="left" w:pos="567"/>
        </w:tabs>
        <w:ind w:right="-570"/>
        <w:jc w:val="both"/>
      </w:pPr>
      <w:r w:rsidRPr="005D3ED1">
        <w:rPr>
          <w:b/>
          <w:bCs/>
        </w:rPr>
        <w:tab/>
      </w:r>
      <w:r w:rsidRPr="005D3ED1">
        <w:rPr>
          <w:b/>
          <w:bCs/>
        </w:rPr>
        <w:tab/>
        <w:t>MADDE  6 –</w:t>
      </w:r>
      <w:r w:rsidRPr="005D3ED1">
        <w:t xml:space="preserve"> (1) Adayların başvurularının değerlendirmeye alınabilmesi için aşağıdaki belgeleri ibraz etmeleri gerekir: </w:t>
      </w:r>
    </w:p>
    <w:p w:rsidR="000A2C06" w:rsidRPr="005D3ED1" w:rsidRDefault="000A2C06" w:rsidP="000A2C06">
      <w:pPr>
        <w:tabs>
          <w:tab w:val="left" w:pos="709"/>
        </w:tabs>
        <w:ind w:right="-570"/>
        <w:jc w:val="both"/>
      </w:pPr>
      <w:r w:rsidRPr="005D3ED1">
        <w:tab/>
        <w:t>a) Bu yönergenin 4 üncü maddesinin birinci fıkrasındaki şartlardan birini sağladığını belirten belgenin onaylı örneği,</w:t>
      </w:r>
    </w:p>
    <w:p w:rsidR="000A2C06" w:rsidRPr="005D3ED1" w:rsidRDefault="000A2C06" w:rsidP="000A2C06">
      <w:pPr>
        <w:tabs>
          <w:tab w:val="left" w:pos="709"/>
        </w:tabs>
        <w:ind w:right="-570"/>
        <w:jc w:val="both"/>
      </w:pPr>
      <w:r w:rsidRPr="005D3ED1">
        <w:tab/>
        <w:t xml:space="preserve">b) Lise diplomasının veya son sınıfta olduğunu gösteren belgenin noter veya yurtdışındaki Türk Elçilikleri tarafından onaylanmış İngilizce veya Türkçe sureti, </w:t>
      </w:r>
    </w:p>
    <w:p w:rsidR="000A2C06" w:rsidRPr="005D3ED1" w:rsidRDefault="000A2C06" w:rsidP="000A2C06">
      <w:pPr>
        <w:tabs>
          <w:tab w:val="left" w:pos="709"/>
        </w:tabs>
        <w:ind w:right="-570"/>
        <w:jc w:val="both"/>
      </w:pPr>
      <w:r w:rsidRPr="005D3ED1">
        <w:tab/>
        <w:t>c) Adayın lisede aldığı dersleri ve notlarını gösteren, lise müdürlüğü tarafından onaylanmış resmi not belgesi (transkript) ile noter ya da yurtdışındaki Türk Elçilikleri tarafından onaylanmış İngilizce veya Türkçe sureti,</w:t>
      </w:r>
    </w:p>
    <w:p w:rsidR="000A2C06" w:rsidRPr="005D3ED1" w:rsidRDefault="000A2C06" w:rsidP="000A2C06">
      <w:pPr>
        <w:tabs>
          <w:tab w:val="left" w:pos="709"/>
        </w:tabs>
        <w:ind w:right="-570"/>
        <w:jc w:val="both"/>
      </w:pPr>
      <w:r w:rsidRPr="005D3ED1">
        <w:tab/>
        <w:t xml:space="preserve">ç) Pasaportun kimlik bilgilerini gösteren sayfalarının noter veya yurtdışındaki Türk Elçilikleri tarafından onaylanmış İngilizce veya Türkçe sureti, </w:t>
      </w:r>
    </w:p>
    <w:p w:rsidR="000A2C06" w:rsidRPr="005D3ED1" w:rsidRDefault="000A2C06" w:rsidP="000A2C06">
      <w:pPr>
        <w:tabs>
          <w:tab w:val="left" w:pos="709"/>
        </w:tabs>
        <w:ind w:right="-570"/>
        <w:jc w:val="both"/>
      </w:pPr>
      <w:r w:rsidRPr="005D3ED1">
        <w:tab/>
        <w:t>d) İki adet vesikalık fotoğraf,</w:t>
      </w:r>
    </w:p>
    <w:p w:rsidR="000A2C06" w:rsidRPr="005D3ED1" w:rsidRDefault="000A2C06" w:rsidP="000A2C06">
      <w:pPr>
        <w:tabs>
          <w:tab w:val="left" w:pos="709"/>
        </w:tabs>
        <w:ind w:right="-570"/>
        <w:jc w:val="both"/>
      </w:pPr>
      <w:r w:rsidRPr="005D3ED1">
        <w:tab/>
        <w:t xml:space="preserve">e) Üniversitedeki eğitimi süresince öğrenim ücreti ile konaklama, yeme içme gibi yaşam masraflarını (yıllık 12.500.-TL tutarındaki) karşılayabilecek mali imkânlara sahip olduğunu gösteren belgeler. </w:t>
      </w:r>
    </w:p>
    <w:p w:rsidR="000A2C06" w:rsidRPr="005D3ED1" w:rsidRDefault="000A2C06" w:rsidP="000A2C06">
      <w:pPr>
        <w:ind w:left="720" w:right="-570"/>
        <w:jc w:val="both"/>
        <w:rPr>
          <w:b/>
          <w:bCs/>
        </w:rPr>
      </w:pPr>
      <w:r w:rsidRPr="005D3ED1">
        <w:rPr>
          <w:b/>
          <w:bCs/>
        </w:rPr>
        <w:t>Türk Cumhuriyetleri ve Akraba Toplulukları Sınavı ile Gelen Öğrenciler</w:t>
      </w:r>
    </w:p>
    <w:p w:rsidR="000A2C06" w:rsidRPr="005D3ED1" w:rsidRDefault="000A2C06" w:rsidP="000A2C06">
      <w:pPr>
        <w:ind w:right="-570"/>
        <w:jc w:val="both"/>
      </w:pPr>
      <w:r w:rsidRPr="005D3ED1">
        <w:rPr>
          <w:b/>
          <w:bCs/>
        </w:rPr>
        <w:tab/>
        <w:t>MADDE  7 –</w:t>
      </w:r>
      <w:r w:rsidRPr="005D3ED1">
        <w:t xml:space="preserve"> (1) Türk Cumhuriyetleri ve Akraba Toplulukları Sınavı (TCS) kapsamında Üniversiteye alınacak öğrenciler için ilan edilen kontenjanlara yerleştirme işlemi Yüksek Öğretim Kurulu tarafından yapılır.</w:t>
      </w:r>
    </w:p>
    <w:p w:rsidR="000A2C06" w:rsidRPr="005D3ED1" w:rsidRDefault="000A2C06" w:rsidP="000A2C06">
      <w:pPr>
        <w:ind w:right="-570" w:firstLine="708"/>
        <w:jc w:val="both"/>
      </w:pPr>
      <w:r w:rsidRPr="005D3ED1">
        <w:t>(2) TCS ile Üniversiteye Devlet Burslusu olarak yerleştirilen öğrenciler bursluluk statüleri bakımından Milli Eğitim Bakanlığının 05.04.2010 tarih ve 1602 sayılı Makam Onayı ile uygulamaya konulan, Türkiye Cumhuriyeti Tarafından Verilen Yükseköğretim Bursları ile İlgili Şartname’ye tabidirler.</w:t>
      </w:r>
    </w:p>
    <w:p w:rsidR="000A2C06" w:rsidRPr="005D3ED1" w:rsidRDefault="000A2C06" w:rsidP="000A2C06">
      <w:pPr>
        <w:ind w:right="-570" w:firstLine="708"/>
        <w:jc w:val="both"/>
      </w:pPr>
      <w:r w:rsidRPr="005D3ED1">
        <w:lastRenderedPageBreak/>
        <w:t xml:space="preserve">(3) Bu madde kapsamında öğrencilerin aldıkları dönem izinleri Üniversite tarafından İl Milli Eğitim Müdürlüğüne yazı ile bildirilir. </w:t>
      </w:r>
    </w:p>
    <w:p w:rsidR="000A2C06" w:rsidRPr="005D3ED1" w:rsidRDefault="000A2C06" w:rsidP="000A2C06">
      <w:pPr>
        <w:tabs>
          <w:tab w:val="left" w:pos="993"/>
        </w:tabs>
        <w:ind w:left="709" w:right="-570"/>
        <w:jc w:val="both"/>
      </w:pPr>
    </w:p>
    <w:p w:rsidR="000A2C06" w:rsidRPr="005D3ED1" w:rsidRDefault="000A2C06" w:rsidP="000A2C06">
      <w:pPr>
        <w:tabs>
          <w:tab w:val="left" w:pos="993"/>
        </w:tabs>
        <w:ind w:right="-570"/>
        <w:jc w:val="center"/>
      </w:pPr>
      <w:r w:rsidRPr="005D3ED1">
        <w:rPr>
          <w:b/>
        </w:rPr>
        <w:t>ÜÇÜNCÜ BÖLÜM</w:t>
      </w:r>
    </w:p>
    <w:p w:rsidR="000A2C06" w:rsidRPr="005D3ED1" w:rsidRDefault="000A2C06" w:rsidP="000A2C06">
      <w:pPr>
        <w:ind w:right="-570"/>
        <w:jc w:val="center"/>
        <w:rPr>
          <w:b/>
        </w:rPr>
      </w:pPr>
      <w:r w:rsidRPr="005D3ED1">
        <w:rPr>
          <w:b/>
        </w:rPr>
        <w:t>Başvuruların Değerlendirilmesi ve Kayıt İşlemleri</w:t>
      </w:r>
    </w:p>
    <w:p w:rsidR="000A2C06" w:rsidRPr="005D3ED1" w:rsidRDefault="000A2C06" w:rsidP="000A2C06">
      <w:pPr>
        <w:ind w:left="720" w:right="-570"/>
        <w:jc w:val="both"/>
      </w:pPr>
    </w:p>
    <w:p w:rsidR="000A2C06" w:rsidRPr="005D3ED1" w:rsidRDefault="000A2C06" w:rsidP="000A2C06">
      <w:pPr>
        <w:ind w:right="-570" w:firstLine="708"/>
        <w:jc w:val="both"/>
      </w:pPr>
      <w:r w:rsidRPr="005D3ED1">
        <w:rPr>
          <w:b/>
          <w:bCs/>
        </w:rPr>
        <w:t xml:space="preserve">Değerlendirme ve Seçim Komisyonu </w:t>
      </w:r>
    </w:p>
    <w:p w:rsidR="000A2C06" w:rsidRPr="005D3ED1" w:rsidRDefault="000A2C06" w:rsidP="000A2C06">
      <w:pPr>
        <w:ind w:right="-570" w:firstLine="708"/>
        <w:jc w:val="both"/>
        <w:rPr>
          <w:color w:val="000000"/>
        </w:rPr>
      </w:pPr>
      <w:r w:rsidRPr="005D3ED1">
        <w:rPr>
          <w:b/>
          <w:bCs/>
        </w:rPr>
        <w:t>MADDE 8 –</w:t>
      </w:r>
      <w:r w:rsidRPr="005D3ED1">
        <w:t xml:space="preserve"> (1) Öğrenci kabulünde özel yetenek sınavı gerektirmeyen bölümlere yapılan başvurular, Rektör tarafından oluşturulan Yurt Dışından Alınacak Öğrencileri </w:t>
      </w:r>
      <w:r w:rsidRPr="005D3ED1">
        <w:rPr>
          <w:color w:val="000000"/>
        </w:rPr>
        <w:t xml:space="preserve">Değerlendirme ve Seçim Komisyonu tarafından incelenir. </w:t>
      </w:r>
    </w:p>
    <w:p w:rsidR="000A2C06" w:rsidRPr="005D3ED1" w:rsidRDefault="000A2C06" w:rsidP="000A2C06">
      <w:pPr>
        <w:ind w:right="-570" w:firstLine="708"/>
        <w:jc w:val="both"/>
      </w:pPr>
      <w:r w:rsidRPr="005D3ED1">
        <w:rPr>
          <w:color w:val="000000"/>
        </w:rPr>
        <w:t xml:space="preserve">(2) </w:t>
      </w:r>
      <w:r w:rsidRPr="005D3ED1">
        <w:t>Özel Yetenek Sınavı ile öğrenci alan</w:t>
      </w:r>
      <w:r w:rsidRPr="005D3ED1">
        <w:rPr>
          <w:b/>
          <w:bCs/>
        </w:rPr>
        <w:t xml:space="preserve"> </w:t>
      </w:r>
      <w:r w:rsidRPr="005D3ED1">
        <w:t>bölümlere yapılan başvuruların değerlendirilmesi, Rektör tarafından oluşturulan Özel Yetenek Sınavı Uygulama ve Değerlendirme Komisyonu tarafından yapılır.</w:t>
      </w:r>
    </w:p>
    <w:p w:rsidR="000A2C06" w:rsidRPr="005D3ED1" w:rsidRDefault="000A2C06" w:rsidP="000A2C06">
      <w:pPr>
        <w:ind w:right="-570" w:firstLine="708"/>
        <w:jc w:val="both"/>
        <w:rPr>
          <w:bCs/>
        </w:rPr>
      </w:pPr>
      <w:r w:rsidRPr="005D3ED1">
        <w:t>(3)</w:t>
      </w:r>
      <w:r w:rsidRPr="005D3ED1">
        <w:rPr>
          <w:color w:val="000000"/>
        </w:rPr>
        <w:t xml:space="preserve"> Komisyonlar, her lisans programı için bu yönergenin 3-7 inci maddelerinde belirtilen şartlara sahip olan adayları sıralayarak Rektörlüğe bildirir. İlgili fakülte yönetim kurulu bu sıralamayı esas alarak kontenjanlara göre öğrencilerin kabulünü karara bağlar.  </w:t>
      </w:r>
    </w:p>
    <w:p w:rsidR="000A2C06" w:rsidRPr="005D3ED1" w:rsidRDefault="000A2C06" w:rsidP="000A2C06">
      <w:pPr>
        <w:ind w:right="-570" w:firstLine="709"/>
        <w:jc w:val="both"/>
        <w:rPr>
          <w:rFonts w:ascii="Tahoma" w:hAnsi="Tahoma" w:cs="Tahoma"/>
        </w:rPr>
      </w:pPr>
      <w:r w:rsidRPr="005D3ED1">
        <w:rPr>
          <w:b/>
          <w:bCs/>
        </w:rPr>
        <w:t>Sonuçların Duyurulması</w:t>
      </w:r>
    </w:p>
    <w:p w:rsidR="000A2C06" w:rsidRPr="005D3ED1" w:rsidRDefault="000A2C06" w:rsidP="000A2C06">
      <w:pPr>
        <w:jc w:val="both"/>
      </w:pPr>
      <w:r w:rsidRPr="005D3ED1">
        <w:rPr>
          <w:b/>
          <w:bCs/>
        </w:rPr>
        <w:tab/>
        <w:t>MADDE  9 –</w:t>
      </w:r>
      <w:r w:rsidRPr="005D3ED1">
        <w:t xml:space="preserve"> (1) Başvuru sonuçları Üniversitenin internet sayfasında duyurulur. Kabul edilen adaylara aynı zamanda bir kabul mektubu gönderilir. Adayların bu mektubu ibraz ederek ülkelerindeki (veya en yakın) T.C. Büyükelçiliğinden “öğrenim meşruhatlı giriş vizesi” almaları gerekmektedir. Adayların, Üniversiteye kayıt yaptırdıktan sonra, Türkiye’de Öğrenim Gören Yabancı Uyruklu Öğrencilere İlişkin Yönetmelik hükümlerine göre gerekli yükümlülükleri de yerine getirmeleri gerekmektedir.</w:t>
      </w:r>
      <w:r w:rsidRPr="005D3ED1">
        <w:rPr>
          <w:b/>
          <w:bCs/>
        </w:rPr>
        <w:t> </w:t>
      </w:r>
      <w:r w:rsidRPr="005D3ED1">
        <w:rPr>
          <w:b/>
          <w:bCs/>
        </w:rPr>
        <w:tab/>
      </w:r>
      <w:r w:rsidRPr="005D3ED1">
        <w:t xml:space="preserve">         </w:t>
      </w:r>
    </w:p>
    <w:p w:rsidR="000A2C06" w:rsidRPr="005D3ED1" w:rsidRDefault="000A2C06" w:rsidP="000A2C06">
      <w:pPr>
        <w:ind w:right="-570" w:firstLine="708"/>
        <w:jc w:val="both"/>
      </w:pPr>
      <w:r w:rsidRPr="005D3ED1">
        <w:rPr>
          <w:b/>
          <w:bCs/>
        </w:rPr>
        <w:t xml:space="preserve">Kayıt </w:t>
      </w:r>
    </w:p>
    <w:p w:rsidR="000A2C06" w:rsidRPr="005D3ED1" w:rsidRDefault="000A2C06" w:rsidP="000A2C06">
      <w:pPr>
        <w:ind w:right="-570" w:firstLine="709"/>
        <w:jc w:val="both"/>
        <w:rPr>
          <w:b/>
        </w:rPr>
      </w:pPr>
      <w:r w:rsidRPr="005D3ED1">
        <w:rPr>
          <w:b/>
          <w:bCs/>
        </w:rPr>
        <w:t>MADDE  10 –</w:t>
      </w:r>
      <w:r w:rsidRPr="005D3ED1">
        <w:t xml:space="preserve"> (1) </w:t>
      </w:r>
      <w:r w:rsidRPr="005D3ED1">
        <w:rPr>
          <w:b/>
        </w:rPr>
        <w:t xml:space="preserve">(Değişik: 06.04.2012 tarih 09/15 sayılı Senato Kararı) </w:t>
      </w:r>
      <w:r w:rsidRPr="005D3ED1">
        <w:t xml:space="preserve"> Kayıtlar Öğrenci İşleri Müdürlüğünde adayın şahsen başvurusuyla akademik takvimde belirtilen sürelerde yapılır.</w:t>
      </w:r>
    </w:p>
    <w:p w:rsidR="000A2C06" w:rsidRPr="005D3ED1" w:rsidRDefault="000A2C06" w:rsidP="000A2C06">
      <w:pPr>
        <w:ind w:right="-570" w:firstLine="709"/>
        <w:jc w:val="both"/>
      </w:pPr>
      <w:r w:rsidRPr="005D3ED1">
        <w:rPr>
          <w:b/>
        </w:rPr>
        <w:t>Ücret ve ödeme koşulları</w:t>
      </w:r>
    </w:p>
    <w:p w:rsidR="000A2C06" w:rsidRPr="005D3ED1" w:rsidRDefault="000A2C06" w:rsidP="000A2C06">
      <w:pPr>
        <w:ind w:right="-570" w:firstLine="708"/>
        <w:jc w:val="both"/>
      </w:pPr>
      <w:r w:rsidRPr="005D3ED1">
        <w:rPr>
          <w:b/>
          <w:bCs/>
        </w:rPr>
        <w:t>MADDE  11 –</w:t>
      </w:r>
      <w:r w:rsidRPr="005D3ED1">
        <w:t xml:space="preserve"> (1) Üniversitede eğitim-öğretim ücrete tabidir. Kabul edilecek öğrencilerden alınacak öğrenim ücretinin miktarı ve ödeme tarihleri her akademik yılın başında ilan edilir. Ücretini ilan edilen zamanda ve miktarda ödemeyen öğrencinin Üniversiteye kaydı yapılmaz. Ücretini ilan edilen zamanda ve miktarda ödeyen öğrencinin dönem ders kayıtları yapılır.</w:t>
      </w:r>
    </w:p>
    <w:p w:rsidR="000A2C06" w:rsidRPr="005D3ED1" w:rsidRDefault="000A2C06" w:rsidP="000A2C06">
      <w:pPr>
        <w:ind w:right="-570" w:firstLine="708"/>
        <w:jc w:val="both"/>
      </w:pPr>
    </w:p>
    <w:p w:rsidR="000A2C06" w:rsidRPr="005D3ED1" w:rsidRDefault="000A2C06" w:rsidP="000A2C06">
      <w:pPr>
        <w:tabs>
          <w:tab w:val="left" w:pos="993"/>
          <w:tab w:val="left" w:pos="4820"/>
        </w:tabs>
        <w:ind w:right="-570"/>
        <w:jc w:val="center"/>
        <w:rPr>
          <w:b/>
        </w:rPr>
      </w:pPr>
      <w:r w:rsidRPr="005D3ED1">
        <w:rPr>
          <w:b/>
        </w:rPr>
        <w:t>DÖRDÜNCÜ BÖLÜM</w:t>
      </w:r>
    </w:p>
    <w:p w:rsidR="000A2C06" w:rsidRPr="005D3ED1" w:rsidRDefault="000A2C06" w:rsidP="000A2C06">
      <w:pPr>
        <w:tabs>
          <w:tab w:val="left" w:pos="993"/>
          <w:tab w:val="left" w:pos="4820"/>
        </w:tabs>
        <w:ind w:right="-570"/>
        <w:jc w:val="center"/>
        <w:rPr>
          <w:b/>
        </w:rPr>
      </w:pPr>
      <w:r w:rsidRPr="005D3ED1">
        <w:rPr>
          <w:b/>
        </w:rPr>
        <w:t>Eğitim-Öğretime İlişkin Esaslar</w:t>
      </w:r>
    </w:p>
    <w:p w:rsidR="000A2C06" w:rsidRPr="005D3ED1" w:rsidRDefault="000A2C06" w:rsidP="000A2C06">
      <w:pPr>
        <w:ind w:left="1620" w:right="-570" w:hanging="911"/>
        <w:jc w:val="both"/>
        <w:rPr>
          <w:b/>
          <w:bCs/>
        </w:rPr>
      </w:pPr>
    </w:p>
    <w:p w:rsidR="000A2C06" w:rsidRPr="005D3ED1" w:rsidRDefault="000A2C06" w:rsidP="000A2C06">
      <w:pPr>
        <w:ind w:left="1620" w:right="-570" w:hanging="911"/>
        <w:jc w:val="both"/>
        <w:rPr>
          <w:b/>
          <w:bCs/>
        </w:rPr>
      </w:pPr>
      <w:r w:rsidRPr="005D3ED1">
        <w:rPr>
          <w:b/>
          <w:bCs/>
        </w:rPr>
        <w:t>Eğitim - Öğretim Dili</w:t>
      </w:r>
    </w:p>
    <w:p w:rsidR="000A2C06" w:rsidRPr="005D3ED1" w:rsidRDefault="000A2C06" w:rsidP="000A2C06">
      <w:pPr>
        <w:ind w:right="-570" w:firstLine="709"/>
        <w:jc w:val="both"/>
      </w:pPr>
      <w:r w:rsidRPr="005D3ED1">
        <w:rPr>
          <w:b/>
          <w:bCs/>
        </w:rPr>
        <w:t>MADDE 12  –</w:t>
      </w:r>
      <w:r w:rsidRPr="005D3ED1">
        <w:t xml:space="preserve"> (1) Üniversitede </w:t>
      </w:r>
      <w:r w:rsidRPr="005D3ED1">
        <w:rPr>
          <w:bCs/>
        </w:rPr>
        <w:t>eğitim</w:t>
      </w:r>
      <w:r w:rsidRPr="005D3ED1">
        <w:t>-öğretim dili ağırlıklı olarak Türkçe’dir. Hangi programlarda Türkçe veya İngilizce ya da kısmen İngilizce eğitim-öğretim yapılacağı her yıl ÖSYM kılavuz koşullarında belirtilir.</w:t>
      </w:r>
    </w:p>
    <w:p w:rsidR="000A2C06" w:rsidRPr="005D3ED1" w:rsidRDefault="000A2C06" w:rsidP="000A2C06">
      <w:pPr>
        <w:ind w:right="-570" w:firstLine="709"/>
        <w:jc w:val="both"/>
        <w:rPr>
          <w:b/>
        </w:rPr>
      </w:pPr>
      <w:r w:rsidRPr="005D3ED1">
        <w:rPr>
          <w:b/>
        </w:rPr>
        <w:t>İngilizce hazırlık programı</w:t>
      </w:r>
    </w:p>
    <w:p w:rsidR="000A2C06" w:rsidRPr="005D3ED1" w:rsidRDefault="000A2C06" w:rsidP="000A2C06">
      <w:pPr>
        <w:ind w:right="-570" w:firstLine="708"/>
        <w:jc w:val="both"/>
      </w:pPr>
      <w:r w:rsidRPr="005D3ED1">
        <w:rPr>
          <w:b/>
        </w:rPr>
        <w:t>MADDE 13</w:t>
      </w:r>
      <w:r w:rsidRPr="005D3ED1">
        <w:t xml:space="preserve"> – (1) Öğrencilerin, lisans programına başlayabilmeleri için TOBB Ekonomi ve Teknoloji Üniversitesi İngilizce Hazırlık Programı Eğitim-Öğretim Esaslarına İlişkin Yönergede belirtilen şartları sağlamaları gerekir. </w:t>
      </w:r>
    </w:p>
    <w:p w:rsidR="000A2C06" w:rsidRPr="005D3ED1" w:rsidRDefault="000A2C06" w:rsidP="000A2C06">
      <w:pPr>
        <w:tabs>
          <w:tab w:val="left" w:pos="567"/>
        </w:tabs>
        <w:ind w:right="-570" w:firstLine="567"/>
        <w:jc w:val="both"/>
      </w:pPr>
      <w:r w:rsidRPr="005D3ED1">
        <w:rPr>
          <w:b/>
          <w:bCs/>
        </w:rPr>
        <w:tab/>
        <w:t xml:space="preserve">Türkçe Dil Düzeyi </w:t>
      </w:r>
    </w:p>
    <w:p w:rsidR="000A2C06" w:rsidRPr="005D3ED1" w:rsidRDefault="000A2C06" w:rsidP="000A2C06">
      <w:pPr>
        <w:ind w:right="-570" w:firstLine="709"/>
        <w:jc w:val="both"/>
        <w:rPr>
          <w:bCs/>
        </w:rPr>
      </w:pPr>
      <w:r w:rsidRPr="005D3ED1">
        <w:rPr>
          <w:b/>
          <w:bCs/>
        </w:rPr>
        <w:t>MADDE  14 –</w:t>
      </w:r>
      <w:r w:rsidRPr="005D3ED1">
        <w:t xml:space="preserve"> (1) Bu yönerge kapsamında Üniversiteye </w:t>
      </w:r>
      <w:r w:rsidRPr="005D3ED1">
        <w:rPr>
          <w:bCs/>
        </w:rPr>
        <w:t>kayıt olan öğrenciler ile yabancı dil hazırlık sınıfını başaran veya muafiyet almış öğrenciler Üniversitenin Türkçe Araştırma ve Uygulama Merkezi (TOBB ETÜ TÖMER) veya eşdeğerliği Senato tarafından onaylanan kurumlar tarafından Avrupa  Birliği Ortak Dil Kriterleri çerçevesinde</w:t>
      </w:r>
      <w:r w:rsidRPr="005D3ED1">
        <w:t xml:space="preserve"> </w:t>
      </w:r>
      <w:r w:rsidRPr="005D3ED1">
        <w:rPr>
          <w:bCs/>
        </w:rPr>
        <w:t xml:space="preserve">yapılan Türkçe Yeterlik Sınavına girerler. Bu sınavdan en az B2 düzeyinde başarı sağlayanlar Lisans programına devam ederler. </w:t>
      </w:r>
      <w:r w:rsidRPr="005D3ED1">
        <w:t>Bu sınavda b</w:t>
      </w:r>
      <w:r w:rsidRPr="005D3ED1">
        <w:rPr>
          <w:bCs/>
        </w:rPr>
        <w:t>aşarılı olamayanlar, Türkçe dil bilgilerini geliştirmek üzere bir yıl izinli sayılarak, daha sonraki eğitim-öğretim yılı başında yine Türkçe Yeterlik Sınavında başarılı olduklarını belgeledikten sonra öğrenime başlayabilirler. İkinci yılın sonunda da bu sınavda gereken başarıyı sağlamayanların Üniversite ile ilişiği kesilir.</w:t>
      </w:r>
    </w:p>
    <w:p w:rsidR="000A2C06" w:rsidRPr="005D3ED1" w:rsidRDefault="000A2C06" w:rsidP="000A2C06">
      <w:pPr>
        <w:ind w:right="-570" w:firstLine="709"/>
        <w:jc w:val="both"/>
      </w:pPr>
      <w:r w:rsidRPr="005D3ED1">
        <w:rPr>
          <w:b/>
          <w:bCs/>
        </w:rPr>
        <w:t>Eğitim-Öğretim</w:t>
      </w:r>
    </w:p>
    <w:p w:rsidR="000A2C06" w:rsidRPr="005D3ED1" w:rsidRDefault="000A2C06" w:rsidP="000A2C06">
      <w:pPr>
        <w:ind w:right="-570"/>
        <w:jc w:val="both"/>
      </w:pPr>
      <w:r w:rsidRPr="005D3ED1">
        <w:rPr>
          <w:b/>
          <w:bCs/>
        </w:rPr>
        <w:lastRenderedPageBreak/>
        <w:tab/>
        <w:t>MADDE  15 –</w:t>
      </w:r>
      <w:r w:rsidRPr="005D3ED1">
        <w:t xml:space="preserve"> (1) Bu yönerge kapsamında Üniversiteye kayıt yaptıran öğrenciler, eğitim-öğretim ile ilgili konularda Üniversitenin diğer öğrencilerine uygulanan mevzuata tabidirler.</w:t>
      </w:r>
    </w:p>
    <w:p w:rsidR="000A2C06" w:rsidRPr="005D3ED1" w:rsidRDefault="000A2C06" w:rsidP="000A2C06">
      <w:pPr>
        <w:ind w:right="-570"/>
        <w:jc w:val="both"/>
        <w:rPr>
          <w:b/>
          <w:u w:val="single"/>
        </w:rPr>
      </w:pPr>
      <w:r w:rsidRPr="005D3ED1">
        <w:tab/>
        <w:t xml:space="preserve">(2) Öğrenci İşleri Müdürlüğünde en az bir personel, yabancı öğrencilerin sorunlarını ilgili birimlere iletmek üzere irtibat görevini yürütür. </w:t>
      </w:r>
    </w:p>
    <w:p w:rsidR="000A2C06" w:rsidRPr="005D3ED1" w:rsidRDefault="000A2C06" w:rsidP="000A2C06">
      <w:pPr>
        <w:ind w:right="-570" w:firstLine="709"/>
        <w:jc w:val="both"/>
      </w:pPr>
      <w:r w:rsidRPr="005D3ED1">
        <w:rPr>
          <w:b/>
        </w:rPr>
        <w:t xml:space="preserve">GEÇİCİ MADDE 1- </w:t>
      </w:r>
      <w:r w:rsidRPr="005D3ED1">
        <w:t>(1)</w:t>
      </w:r>
      <w:r w:rsidRPr="005D3ED1">
        <w:rPr>
          <w:b/>
        </w:rPr>
        <w:t xml:space="preserve">  </w:t>
      </w:r>
      <w:r w:rsidRPr="005D3ED1">
        <w:t xml:space="preserve">09 Mayıs 2010 tarihinde son kez yapılmış olan Yabancı Uyruklu Öğrenciler Sınavı (YÖS) sonuçları iki yıl geçerli olacağından, 2011-2012 eğitim-öğretim yılında da bu sınav sonuçları ile başvuru yapılabilecektir. Bu sınavda Temel Öğrenme Becerileri Testinden en az 40 puan </w:t>
      </w:r>
      <w:r w:rsidRPr="005D3ED1">
        <w:rPr>
          <w:bCs/>
        </w:rPr>
        <w:t>almış olmak gereklidir.</w:t>
      </w:r>
    </w:p>
    <w:p w:rsidR="000A2C06" w:rsidRPr="005D3ED1" w:rsidRDefault="000A2C06" w:rsidP="000A2C06">
      <w:pPr>
        <w:ind w:right="-570" w:firstLine="709"/>
        <w:jc w:val="both"/>
      </w:pPr>
      <w:r w:rsidRPr="005D3ED1">
        <w:t>(2) YÖS sonucuna göre yerleştirilen öğrenciler için YÖS kılavuzunda belirtilen ilke ve esaslar uygulanır.</w:t>
      </w:r>
    </w:p>
    <w:p w:rsidR="000A2C06" w:rsidRPr="005D3ED1" w:rsidRDefault="000A2C06" w:rsidP="000A2C06">
      <w:pPr>
        <w:ind w:right="-570" w:firstLine="567"/>
        <w:jc w:val="both"/>
      </w:pPr>
      <w:r w:rsidRPr="005D3ED1">
        <w:rPr>
          <w:b/>
          <w:bCs/>
        </w:rPr>
        <w:t xml:space="preserve">  Yürürlük</w:t>
      </w:r>
    </w:p>
    <w:p w:rsidR="000A2C06" w:rsidRPr="005D3ED1" w:rsidRDefault="000A2C06" w:rsidP="000A2C06">
      <w:pPr>
        <w:ind w:right="-570"/>
        <w:jc w:val="both"/>
      </w:pPr>
      <w:r w:rsidRPr="005D3ED1">
        <w:t> </w:t>
      </w:r>
      <w:r w:rsidRPr="005D3ED1">
        <w:tab/>
      </w:r>
      <w:r w:rsidRPr="005D3ED1">
        <w:rPr>
          <w:b/>
          <w:bCs/>
        </w:rPr>
        <w:t>MADDE  16 –</w:t>
      </w:r>
      <w:r w:rsidRPr="005D3ED1">
        <w:t xml:space="preserve"> (1) Bu yönerge TOBB Ekonomi ve Teknoloji Üniversitesi Senatosunun kararı ile yürürlüğe girer.</w:t>
      </w:r>
    </w:p>
    <w:p w:rsidR="000A2C06" w:rsidRPr="005D3ED1" w:rsidRDefault="000A2C06" w:rsidP="000A2C06">
      <w:pPr>
        <w:ind w:right="-570" w:firstLine="708"/>
        <w:jc w:val="both"/>
      </w:pPr>
      <w:r w:rsidRPr="005D3ED1">
        <w:rPr>
          <w:b/>
          <w:bCs/>
        </w:rPr>
        <w:t>Yürütme</w:t>
      </w:r>
    </w:p>
    <w:p w:rsidR="000A2C06" w:rsidRPr="005413FE" w:rsidRDefault="000A2C06" w:rsidP="000A2C06">
      <w:pPr>
        <w:ind w:right="-570" w:firstLine="708"/>
        <w:jc w:val="both"/>
      </w:pPr>
      <w:r w:rsidRPr="005D3ED1">
        <w:rPr>
          <w:b/>
          <w:bCs/>
        </w:rPr>
        <w:t>MADDE  17 –</w:t>
      </w:r>
      <w:r w:rsidRPr="005D3ED1">
        <w:t xml:space="preserve"> (1) Bu yönergeyi TOBB Ekonomi ve Teknoloji Üniversitesi Rektörü yürütür.</w:t>
      </w:r>
    </w:p>
    <w:p w:rsidR="00C27EA5" w:rsidRDefault="00C27EA5"/>
    <w:sectPr w:rsidR="00C27EA5" w:rsidSect="001419DD">
      <w:headerReference w:type="even" r:id="rId7"/>
      <w:headerReference w:type="default" r:id="rId8"/>
      <w:footerReference w:type="even" r:id="rId9"/>
      <w:footerReference w:type="default" r:id="rId10"/>
      <w:pgSz w:w="11906" w:h="16838"/>
      <w:pgMar w:top="426" w:right="1418" w:bottom="1304" w:left="993" w:header="624"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B4" w:rsidRDefault="007E11B4" w:rsidP="000A2C06">
      <w:r>
        <w:separator/>
      </w:r>
    </w:p>
  </w:endnote>
  <w:endnote w:type="continuationSeparator" w:id="0">
    <w:p w:rsidR="007E11B4" w:rsidRDefault="007E11B4" w:rsidP="000A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345" w:rsidRDefault="007E11B4" w:rsidP="004801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345" w:rsidRDefault="007E1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2E" w:rsidRDefault="007E11B4">
    <w:pPr>
      <w:pStyle w:val="Footer"/>
      <w:jc w:val="center"/>
    </w:pPr>
    <w:r>
      <w:fldChar w:fldCharType="begin"/>
    </w:r>
    <w:r>
      <w:instrText xml:space="preserve"> PAGE   \* MERGEFORMAT </w:instrText>
    </w:r>
    <w:r>
      <w:fldChar w:fldCharType="separate"/>
    </w:r>
    <w:r w:rsidR="000A2C06">
      <w:rPr>
        <w:noProof/>
      </w:rPr>
      <w:t>2</w:t>
    </w:r>
    <w:r>
      <w:fldChar w:fldCharType="end"/>
    </w:r>
  </w:p>
  <w:p w:rsidR="00685B63" w:rsidRPr="00685B63" w:rsidRDefault="007E11B4" w:rsidP="0096276B">
    <w:pPr>
      <w:pStyle w:val="Footer"/>
      <w:tabs>
        <w:tab w:val="clear" w:pos="9072"/>
        <w:tab w:val="right" w:pos="8346"/>
      </w:tabs>
      <w:ind w:left="44" w:firstLine="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B4" w:rsidRDefault="007E11B4" w:rsidP="000A2C06">
      <w:r>
        <w:separator/>
      </w:r>
    </w:p>
  </w:footnote>
  <w:footnote w:type="continuationSeparator" w:id="0">
    <w:p w:rsidR="007E11B4" w:rsidRDefault="007E11B4" w:rsidP="000A2C06">
      <w:r>
        <w:continuationSeparator/>
      </w:r>
    </w:p>
  </w:footnote>
  <w:footnote w:id="1">
    <w:p w:rsidR="000A2C06" w:rsidRDefault="000A2C06" w:rsidP="000A2C06">
      <w:pPr>
        <w:pStyle w:val="FootnoteText"/>
        <w:jc w:val="both"/>
      </w:pPr>
      <w:r>
        <w:rPr>
          <w:rStyle w:val="FootnoteReference"/>
        </w:rPr>
        <w:footnoteRef/>
      </w:r>
      <w:r>
        <w:t xml:space="preserve"> </w:t>
      </w:r>
      <w:r w:rsidRPr="005D3ED1">
        <w:rPr>
          <w:i/>
          <w:iCs/>
          <w:sz w:val="16"/>
          <w:szCs w:val="16"/>
        </w:rPr>
        <w:t>Bu madde başlığı “Adayların  uyruğu ”iken, 06.04.2012 tarihli ve 09 sayılı Senato Toplantısının 15 nolu kararı ile metne işlendiği şekilde değiştirilmiştir.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9F" w:rsidRDefault="007E11B4" w:rsidP="000606E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32D9F" w:rsidRDefault="007E11B4" w:rsidP="000606E4">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9F" w:rsidRDefault="007E11B4" w:rsidP="009D48F5">
    <w:pPr>
      <w:pStyle w:val="Header"/>
      <w:framePr w:wrap="around" w:vAnchor="text" w:hAnchor="margin" w:xAlign="outside" w:y="1"/>
      <w:jc w:val="center"/>
      <w:rPr>
        <w:rStyle w:val="PageNumber"/>
      </w:rPr>
    </w:pPr>
  </w:p>
  <w:p w:rsidR="00032D9F" w:rsidRPr="00032D9F" w:rsidRDefault="007E11B4" w:rsidP="000606E4">
    <w:pPr>
      <w:pStyle w:val="Header"/>
      <w:tabs>
        <w:tab w:val="clear" w:pos="9072"/>
        <w:tab w:val="right" w:pos="8820"/>
      </w:tabs>
      <w:ind w:right="360" w:firstLine="360"/>
      <w:rPr>
        <w:b/>
      </w:rPr>
    </w:pPr>
    <w:r>
      <w:rPr>
        <w:b/>
      </w:rPr>
      <w:tab/>
    </w:r>
    <w:r>
      <w:rPr>
        <w: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DB"/>
    <w:multiLevelType w:val="hybridMultilevel"/>
    <w:tmpl w:val="E22085F6"/>
    <w:lvl w:ilvl="0" w:tplc="041F0017">
      <w:start w:val="1"/>
      <w:numFmt w:val="lowerLetter"/>
      <w:lvlText w:val="%1)"/>
      <w:lvlJc w:val="left"/>
      <w:pPr>
        <w:ind w:left="1211"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701C8E"/>
    <w:multiLevelType w:val="hybridMultilevel"/>
    <w:tmpl w:val="6AD4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802E58"/>
    <w:multiLevelType w:val="hybridMultilevel"/>
    <w:tmpl w:val="A21814C2"/>
    <w:lvl w:ilvl="0" w:tplc="3A006582">
      <w:start w:val="1"/>
      <w:numFmt w:val="lowerLetter"/>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06"/>
    <w:rsid w:val="000A2C06"/>
    <w:rsid w:val="007E11B4"/>
    <w:rsid w:val="00C2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E889D-AB61-46D6-AC6D-5954BC91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C06"/>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2C06"/>
    <w:pPr>
      <w:tabs>
        <w:tab w:val="center" w:pos="4536"/>
        <w:tab w:val="right" w:pos="9072"/>
      </w:tabs>
    </w:pPr>
    <w:rPr>
      <w:lang w:val="x-none" w:eastAsia="x-none"/>
    </w:rPr>
  </w:style>
  <w:style w:type="character" w:customStyle="1" w:styleId="FooterChar">
    <w:name w:val="Footer Char"/>
    <w:basedOn w:val="DefaultParagraphFont"/>
    <w:link w:val="Footer"/>
    <w:uiPriority w:val="99"/>
    <w:rsid w:val="000A2C06"/>
    <w:rPr>
      <w:rFonts w:ascii="Times New Roman" w:eastAsia="Times New Roman" w:hAnsi="Times New Roman" w:cs="Times New Roman"/>
      <w:sz w:val="24"/>
      <w:szCs w:val="24"/>
      <w:lang w:val="x-none" w:eastAsia="x-none"/>
    </w:rPr>
  </w:style>
  <w:style w:type="character" w:styleId="PageNumber">
    <w:name w:val="page number"/>
    <w:basedOn w:val="DefaultParagraphFont"/>
    <w:rsid w:val="000A2C06"/>
  </w:style>
  <w:style w:type="paragraph" w:styleId="Header">
    <w:name w:val="header"/>
    <w:basedOn w:val="Normal"/>
    <w:link w:val="HeaderChar"/>
    <w:rsid w:val="000A2C06"/>
    <w:pPr>
      <w:tabs>
        <w:tab w:val="center" w:pos="4536"/>
        <w:tab w:val="right" w:pos="9072"/>
      </w:tabs>
    </w:pPr>
  </w:style>
  <w:style w:type="character" w:customStyle="1" w:styleId="HeaderChar">
    <w:name w:val="Header Char"/>
    <w:basedOn w:val="DefaultParagraphFont"/>
    <w:link w:val="Header"/>
    <w:rsid w:val="000A2C06"/>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0A2C06"/>
    <w:pPr>
      <w:ind w:left="720"/>
      <w:contextualSpacing/>
    </w:pPr>
  </w:style>
  <w:style w:type="paragraph" w:styleId="FootnoteText">
    <w:name w:val="footnote text"/>
    <w:basedOn w:val="Normal"/>
    <w:link w:val="FootnoteTextChar"/>
    <w:rsid w:val="000A2C06"/>
    <w:rPr>
      <w:sz w:val="20"/>
      <w:szCs w:val="20"/>
    </w:rPr>
  </w:style>
  <w:style w:type="character" w:customStyle="1" w:styleId="FootnoteTextChar">
    <w:name w:val="Footnote Text Char"/>
    <w:basedOn w:val="DefaultParagraphFont"/>
    <w:link w:val="FootnoteText"/>
    <w:rsid w:val="000A2C06"/>
    <w:rPr>
      <w:rFonts w:ascii="Times New Roman" w:eastAsia="Times New Roman" w:hAnsi="Times New Roman" w:cs="Times New Roman"/>
      <w:sz w:val="20"/>
      <w:szCs w:val="20"/>
      <w:lang w:val="tr-TR" w:eastAsia="tr-TR"/>
    </w:rPr>
  </w:style>
  <w:style w:type="character" w:styleId="FootnoteReference">
    <w:name w:val="footnote reference"/>
    <w:rsid w:val="000A2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2017-07-13T10:44:00Z</dcterms:created>
  <dcterms:modified xsi:type="dcterms:W3CDTF">2017-07-13T10:44:00Z</dcterms:modified>
</cp:coreProperties>
</file>